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国家艺术基金（一般项目）2025年度</w:t>
      </w:r>
    </w:p>
    <w:p>
      <w:pPr>
        <w:pStyle w:val="2"/>
        <w:bidi w:val="0"/>
        <w:jc w:val="center"/>
        <w:rPr>
          <w:rFonts w:hint="eastAsia"/>
        </w:rPr>
      </w:pPr>
      <w:r>
        <w:rPr>
          <w:rFonts w:hint="eastAsia"/>
        </w:rPr>
        <w:t>艺术人才培训资助项目申报指南</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国家艺术基金面向社会受理艺术人才培训资助项目的申报，组织专家评审，确定资助项目和资助额度，并实施监管。</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根据《国家艺术基金章程》《中央专项彩票公益金支持国家艺术基金项目资金管理办法》，结合《国家艺术基金项目资助管理办法》等文件，制定本指南。</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一、资助要求</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本项目资助坚持以习近平新时代中国特色社会主义思想为指导，全面贯彻落实党的二十大精神，深入学习贯彻习近平文化思想，坚持为人民服务、为社会主义服务，坚持百花齐放、百家争鸣，坚持创造性转化、创新性发展，围绕举旗帜、聚民心、育新人、兴文化、展形象建设社会主义文化强国，以培育造就大批德艺双馨的文艺家和规模宏大的文艺人才队伍，推出更多满足人民文化需求和增强人民精神力量的优秀作品，建设中华民族现代文明为目标的培训项目。</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重点资助以造就有影响的各领域艺术领军人物为目标的艺术人才培训活动；关系到舞台艺术和美术事业传承和长远发展的特殊、急需、紧缺的艺术人才培训活动；满足基层艺术事业发展需要的优秀实用型艺术人才培训活动；培养有利于戏曲艺术传承发展的优秀艺术人才培训活动。</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二、资助范围</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本项目资助舞台艺术、美术、书法、摄影和工艺美术等领域创作人才、经营管理人才和文艺评论人才培训。不资助古代艺术品（文物）保护利用人才培训、非物质文化遗产传承人培训和以城乡空间规划设计为主要内容的人才培训项目。培训分为短期培训和中长期培训。</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（一）项目设计要遵循高层次、小批量原则，体现灵活性、多样化特点，鼓励艺术经验的直接传授和在实践中提升经营管理能力，围绕具体创作任务出作品、出人才。</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创作人才培训重在艺术实践和经验传授，注重提升专业技能、拓宽艺术视野和培养创新能力；经营管理人才培训重在培养熟悉艺术创作生产规律，了解市场运行机制，能够做好艺术作品宣传推广和市场经营工作的复合型人才；文艺评论人才培训重在培养能够针对创作实践开展文艺评论的人才；“高端艺术人才国外研修计划”重在与国外艺术机构、单位合作开展培训活动，选派、支持优秀艺术人才赴国外艺术团体和经营机构学习实践，提升专业技能，提高推广交流和经营管理能力。</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三、申请额度</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艺术基金依据申报项目的培训类别、学员数量、授课时长等因素，同时参考项目申报主体制定的项目预算核定资助资金。</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四、资助方式</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艺术基金对聘请教师、学员交通食宿、租赁培训场所和开展艺术实践活动等给予资助，承担项目的机构或单位须将资助资金全部用于项目开支，不得向学员收取学费等其他费用，不得与自行举办的其他培训项目拼班、交叉。</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（二）对具备实施条件的资助项目，艺术基金将先期拨付资助资金总额的50%作为启动经费；项目开班经中期监督合格后，拨付资助资金总额的30%；项目完成并验收合格后，拨付剩余20%的资助资金。</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（三）项目经费支付按照国库集中支付有关制度规定执行。</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四）承担项目的机构或单位应适度控制培训规模，短期培训原则上参加培训的学员应控制在30名以内，最多不能超过50名；中长期培训原则上参加培训的学员应控制在20名以内，最多不能超过30名。要面向全国择优遴选培训对象，学员确定后应将名单及个人简历报送国家艺术基金管理中心（以下简称“管理中心”）备案。</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五）承担项目的机构或单位应保证培训时间，短期培训原则上培训时间应不少于2个月，不超过6个月，且集中培训时间应不少于1个月；中长期培训原则上培训时间应不少于1年，且集中培训时间应不少于6个月；“高端艺术人才国外研修计划”项目安排在国外学习实践时间应不少于2个月。培训可依据具体项目的特点和人才培养要求分批次、分地域进行。</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五、申报条件</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（一）本项目的项目申报主体为机构或单位（不含性质为机关法人的单位），其应同时具备以下条件：</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1.2021年4月15日前在中华人民共和国内地（大陆）同级行政机关登记、注册的机构或单位，在香港特别行政区、澳门特别行政区依法进行商业登记、公司注册或社团登记注册的机构或单位；</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2.具备完善的管理制度，与实施项目相匹配的教学实践资源、师资力量和设施条件，能够提供详实、可行的培训方案。鼓励艺术创作单位与艺术教育科研单位合作开展项目。</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（二）已获得国家艺术基金立项资助的项目，未能在《申报指南》规定实施周期内提交结项验收或终止申请的，其项目主体不能再获得同一项目类型的资助。</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六、申报时间</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本项目从2024年4月15日起开始申报，至6月15日截止申报。管理中心在申报期内受理项目申报，并提供相关咨询服务，逾期不予受理。</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七、申报程序</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（一）项目申报主体在规定的申报受理期内，通过国家艺术基金网站 （http://www.cnaf.cn），登录“国家艺术基金资助项目管理系统”，按要求填写《国家艺术基金（一般项目）2025年度艺术人才培训资助项目申报表》，上传申报材料。</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（二）管理中心自申请截止之日起30日内，完成对申报项目的审核。符合相关规定的予以受理；不符合相关规定的，不予受理并通知项目申报主体。</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（三）对项目申报主体提交的申报材料，管理中心按规定管理，并根据工作需要使用。</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八、申报材料</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（一）《国家艺术基金（一般项目）2025年度艺术人才培训资助项目申报表》。</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（二）内地（大陆）项目申报主体须提供同级行政主管部门颁发的登记、注册证书和统一社会信用代码证书；港澳特区项目申报主体须提供商业登记证书、公司注册证书或社团注册证明书等资质证明文件。</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（三）上一年度财务报表（资产负债表、利润表或收入支出决算表）和本年度1月份社会保险个人权益记录（单位缴费信息）。</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（四）申报项目已经获得或正在申请其他财政性资金、基金支持以及第三方资助的，须提供相应的批准文件或申报材料。</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（五）开展艺术人才培训项目的工作方案、完整课程安排、全部授课教师简介，以及与授课教师签署的协议。</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（六）申报项目涉及国外培训活动的，须提供与国外合作机构的合作协议。</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（七）申报材料应于2024年6月15日前通过网络提交，管理中心不接受纸质申报材料。作为附件上传的辅助材料，图片应采用扫描的方式形成，视频应完整清晰，可识别度高。</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九、签约实施</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确定申报项目为立项资助项目后，管理中心将与项目申报主体签订《国家艺术基金资助项目协议书》。《国家艺术基金（一般项目）2025年度艺术人才培训资助项目申报表》作为协议书附件，具有同等约束力。</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申报项目立项后，项目主体视为同意按照艺术基金安排，参加艺术基金组织的出版、演出、展览、演播和研讨等宣传推广活动，并将全部项目成果的展览权、放映权、广播权和信息网络传播权等与成果运用相关的著作权以非专有使用许可的方式授予管理中心。</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十、监督验收</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（一）资助项目应于2026年6月30日前提交完整的成果材料，参加结项验收。</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（二）管理中心将按照《国家艺术基金资助项目监督管理办法》，对资助项目实施情况进行监督，并组织专家对资助项目进行结项验收。</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（三）项目主体应加强对授课内容的管理，录制全部课程的完整视频。</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（四）项目主体要保证申报项目在申报及后续实施过程中均不侵犯任何第三方的著作权及其他合法权益。如有侵犯，项目主体依法承担全部责任。</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五）项目主体违反《国家艺术基金章程》及艺术基金其他有关管理规定的，管理中心给予通报批评，并追究责任人相关责任。有下列情形之一的，报国家艺术基金理事会批准后追回已拨资金，并暂停项目主体3年以上申报资格，涉嫌违法违纪的移交有关部门处理：</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1.项目主体在项目实施过程中，侵犯任何第三方的著作权及其他合法权益；</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2.项目实施内容、经费支出、结项成果等与《国家艺术基金资助项目协议书》的约定存在重大差异；</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3.项目主体存在其他弄虚作假、挪用资助资金、违反《国家艺术基金项目资助管理办法》《国家艺术基金资助项目经费管理办法》等情形；</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4.项目主体有其他严重违法违纪行为。</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十一、其他</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（一）资助项目在实施过程中，应在相关场所和材料显著位置标注“彩票公益金资助——中国福利彩票和中国体育彩票”和“国家艺术基金资助”标识。</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（二）艺术基金对项目主体在项目申报、实施过程中与第三方产生的纠纷不承担任何责任。</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（三）管理中心对本指南拥有最终解释权。</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（四）本指南自发布之日起实施。</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微软雅黑" w:hAnsi="微软雅黑" w:eastAsia="微软雅黑" w:cs="微软雅黑"/>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1ZjE0YTBjMzhiNzI4YWEyZGQzMzQ5ZjE4Yjc4MTAifQ=="/>
  </w:docVars>
  <w:rsids>
    <w:rsidRoot w:val="00000000"/>
    <w:rsid w:val="12303925"/>
    <w:rsid w:val="26FC7E22"/>
    <w:rsid w:val="36C86A9D"/>
    <w:rsid w:val="3B666A31"/>
    <w:rsid w:val="42D75573"/>
    <w:rsid w:val="574B7E86"/>
    <w:rsid w:val="75B827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